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水运建设市场监督管理办法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b w:val="0"/>
          <w:bCs/>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（中华人民共和国交通运输部令2016年第74号）</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b w:val="0"/>
          <w:bCs/>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480" w:firstLineChars="200"/>
        <w:textAlignment w:val="auto"/>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rPr>
        <w:t>《水运建设市场监督管理办法》已于2016年11月30日经第28次部务会</w:t>
      </w:r>
      <w:r>
        <w:rPr>
          <w:rFonts w:hint="eastAsia" w:asciiTheme="minorEastAsia" w:hAnsiTheme="minorEastAsia" w:eastAsiaTheme="minorEastAsia" w:cstheme="minorEastAsia"/>
          <w:i w:val="0"/>
          <w:caps w:val="0"/>
          <w:color w:val="auto"/>
          <w:spacing w:val="0"/>
          <w:sz w:val="24"/>
          <w:szCs w:val="24"/>
          <w:shd w:val="clear" w:fill="FFFFFF"/>
        </w:rPr>
        <w:t>议通过，现予公布，自2017年2月1日起施行。</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720" w:firstLineChars="300"/>
        <w:jc w:val="both"/>
        <w:textAlignment w:val="auto"/>
        <w:rPr>
          <w:rFonts w:hint="eastAsia" w:asciiTheme="minorEastAsia" w:hAnsiTheme="minorEastAsia" w:eastAsiaTheme="minorEastAsia" w:cstheme="minorEastAsia"/>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6224" w:leftChars="2964" w:right="0" w:firstLine="240" w:firstLineChars="100"/>
        <w:jc w:val="both"/>
        <w:textAlignment w:val="auto"/>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部长　李小鹏</w:t>
      </w:r>
      <w:r>
        <w:rPr>
          <w:rFonts w:hint="eastAsia" w:asciiTheme="minorEastAsia" w:hAnsiTheme="minorEastAsia" w:eastAsiaTheme="minorEastAsia" w:cstheme="minorEastAsia"/>
          <w:i w:val="0"/>
          <w:caps w:val="0"/>
          <w:color w:val="auto"/>
          <w:spacing w:val="0"/>
          <w:sz w:val="24"/>
          <w:szCs w:val="24"/>
          <w:shd w:val="clear" w:fill="FFFFFF"/>
        </w:rPr>
        <w:br w:type="textWrapping"/>
      </w:r>
      <w:r>
        <w:rPr>
          <w:rFonts w:hint="eastAsia" w:asciiTheme="minorEastAsia" w:hAnsiTheme="minorEastAsia" w:eastAsiaTheme="minorEastAsia" w:cstheme="minorEastAsia"/>
          <w:i w:val="0"/>
          <w:caps w:val="0"/>
          <w:color w:val="auto"/>
          <w:spacing w:val="0"/>
          <w:sz w:val="24"/>
          <w:szCs w:val="24"/>
          <w:shd w:val="clear" w:fill="FFFFFF"/>
        </w:rPr>
        <w:t>2016年12月6日</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heme="minorEastAsia" w:hAnsiTheme="minorEastAsia" w:eastAsiaTheme="minorEastAsia" w:cstheme="minorEastAsia"/>
          <w:b/>
          <w:i w:val="0"/>
          <w:caps w:val="0"/>
          <w:color w:val="auto"/>
          <w:spacing w:val="0"/>
          <w:sz w:val="44"/>
          <w:szCs w:val="44"/>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i w:val="0"/>
          <w:caps w:val="0"/>
          <w:color w:val="auto"/>
          <w:spacing w:val="0"/>
          <w:sz w:val="24"/>
          <w:szCs w:val="24"/>
          <w:shd w:val="clear" w:fill="FFFFFF"/>
        </w:rPr>
      </w:pPr>
      <w:r>
        <w:rPr>
          <w:rFonts w:hint="eastAsia" w:ascii="方正小标宋简体" w:hAnsi="方正小标宋简体" w:eastAsia="方正小标宋简体" w:cs="方正小标宋简体"/>
          <w:b w:val="0"/>
          <w:bCs/>
          <w:i w:val="0"/>
          <w:caps w:val="0"/>
          <w:color w:val="auto"/>
          <w:spacing w:val="0"/>
          <w:sz w:val="44"/>
          <w:szCs w:val="44"/>
        </w:rPr>
        <w:t>水运建设市场监督管理办法</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第一章　总则</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为规范水运建设市场秩序，保障水运建设市场各方当事人合法权益，根据《中华人民共和国港口法》《中华人民共和国航道法》《中华人民共和国招标投标法》《建设工程质量管理条例》等法律、行政法规，制定本办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在中华人民共和国境内从事水运建设活动及对水运建设市场实施监督管理，适用本办法。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本办法所称水运建设，是指水路运输基础设施包括港口、码头、航道及相关设施等工程建设。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第三条</w:t>
      </w:r>
      <w:r>
        <w:rPr>
          <w:rFonts w:hint="eastAsia" w:ascii="仿宋_GB2312" w:hAnsi="仿宋_GB2312" w:eastAsia="仿宋_GB2312" w:cs="仿宋_GB2312"/>
          <w:i w:val="0"/>
          <w:caps w:val="0"/>
          <w:color w:val="auto"/>
          <w:spacing w:val="0"/>
          <w:sz w:val="32"/>
          <w:szCs w:val="32"/>
          <w:shd w:val="clear" w:fill="FFFFFF"/>
        </w:rPr>
        <w:t>　水运建设市场应当遵循公平公正、诚实守信的原则，建立和维护统一开放、竞争有序的市场秩序。禁止任何形式的地方保护和行业保护。</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交通运输部主管全国水运建设市场的监督管理工作。</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县级以上地方人民政府交通运输主管部门按照省、自治区、直辖市人民政府规定的职责负责本行政区域内水运建设市场的监督管理工作。</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水运建设市场主体应当加强自律，完善内部管理制度，诚信经营，遵守职业道德，自觉维护市场秩序，履行社会责任，接受社会监督。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水运建设相关行业协会应当按照依法制定的章程开展活动，完善行业自律管理制度体系，加强行业自律和服务。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县级以上地方人民政府交通运输主管部门应当创新水运建设市场监管方式和监管手段，加强信息化应用和信用信息资源共享，实现与相关部门的协同监管。</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第二章　水运建设市场主体及行为</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rightChars="0"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lang w:val="en-US" w:eastAsia="zh-CN"/>
        </w:rPr>
        <w:t>第八条</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水运建设市场主体应当严格遵守有关建设法律、法规、规章及相关规定，执行国家和行业建设标准，诚实守信。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本办法所称水运建设市场主体，包括水运建设项目单位、从业单位和相关从业人员。</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本办法所称从业单位，包括从事水运建设勘察、设计、施工、监理、试验检测以及提供咨询、项目代建、招标代理等相关服务的单位。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本办法所称代建单位是指受项目单位委托从事建设项目管理的单位。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法律、行政法规对水运建设市场主体的资质作出规定的，水运建设市场主体应当依法具备规定的资质要求。</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从业单位在水运建设经营活动中，不得出借或者转让其资质证书，不得以他人名义承揽工程，不得超越资质等级承揽工程。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水运建设项目单位具备以下能力要求的，可以自行进行项目建设管理：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项目主要负责人或者技术负责人具有与建设项目相适应的管理经验，至少在2个类似的水运建设项目的工程、技术、计划等关键岗位担任过负责人。技术负责人还应当具有相关专业的高级技术职称或者相应的技术能力；</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（二）项目管理机构的设置和人员配备应当满足该项目管理需要。工程技术、质量、安全和财务等部门的负责人应当具有相应的项目管理经验，以及相应的中级以上技术职称或者相应的技术能力。</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项目单位不具备第十条规定的项目建设管理能力的，应当委托符合以下要求的代建单位进行项目建设管理：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（一）具有法人资格，机构设置和相关人员配备满足第十条规定的项目建设管理能力要求；</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（二）具有类似水运建设或者管理相关业绩和良好的市场信誉；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（三）有满足水运建设质量、安全、环境保护等方面要求的管理制度。</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项目单位选择代建单位时，应当从符合要求的代建单位中，优先选择业绩和信用良好、管理能力强的代建单位。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鼓励满足本办法第十一条规定要求的水运建设管理单位及水运工程勘察、设计、施工、工程监理企业开展代建工作。</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代建单位不得在所代建的项目中同时承担勘察、设计、施工、供应设备或者与以上单位有隶属关系及其他直接利益关系。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代建单位依据合同开展代建工作，履行工程质量、安全、进度、工程计量、资金支付、环境保护等相关管理责任，承担项目档案及有关技术资料的收集、整理、归档等工作，负责质量缺陷责任期内的缺陷维修管理等工作。</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项目单位全面负责水运建设项目的建设管理，应当严格执行基本建设程序，不得违反或者擅自简化基本建设程序。</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水运建设项目实行招标投标的，应当严格遵守国家有关招标投标法律、法规、规章的规定，依法开展招标投标工作。水运建设市场主体不得弄虚作假，不得串通投标，不得以行贿等不合法手段谋取中标。</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水运建设项目实行设计施工总承包的，总承包单位应当加强设计与施工的协调，建立工程管理与协调制度，根据工程实际及时完善、优化设计，改进施工方案，合理调配设计和施工力量，完善质量保证体系。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总承包单位应当加强对分包工程的管理。选择的分包单位应当具备相应资格条件，并经项目单位同意，分包合同应当送项目单位。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勘察、设计单位经项目单位同意，可以将工程设计中跨专业或者有特殊要求的勘察、设计工作分包给有相应资质条件的单位承担。勘察、设计单位对分包单位的分包工作承担连带责任。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施工单位经项目单位同意，可以将非主体、非关键性或者适合专业化施工的工程分包给具有相应资质条件的单位承担。施工单位对分包单位的分包工程承担连带责任。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项目单位应当加强对工程分包的管理。承包单位应当将施工分包合同报监理单位审查，并报项目单位备案。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监理工作不得分包或者转包。</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rPr>
        <w:t>　禁止承包单位将其承包的水运建设工程转包。禁止分包单位将其承包的水运建设工程再分包。</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水运建设各相关单位应当按照合同约定全面履行义务：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项目单位应当按照合理工期组织项目实施，不得任意压缩合理工期和无故延长工期，并应当按照合同约定支付款项；不得明示或者暗示施工单位使用不合格的材料、构配件和设备；项目单位按照合同约定自行采购材料、构配件和设备的，应当保证其满足国家有关标准的规定，符合设计文件要求；</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勘察、设计单位应当按时提供勘察、设计资料和设计文件；除有特殊要求的材料、专用设备、工艺生产线等外，设计单位不得指定生产厂、供应商；工程实施过程中，设计单位应当按约定派驻设计代表，提供设计后续服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（三）施工单位应当合理组织施工，人员及施工设备应当及时到位；应当加强现场管理，确保工程质量、生产安全和合同工期，做到文明施工；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（四）工程监理单位应当按约定履行监理服务，建立相应的现场监理机构，对工程实施有效监理；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（五）试验检测机构应当依据试验检测标准和合同约定进行取样、试验和检测，提供真实、完整的试验检测数据、资料；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六）提供水运建设咨询、项目代建、招标代理等相关服务的单位应当依据相关规定，规范办理受托事务，所提供的信息、数据、结论或者报告应当真实、准确；保守技术和商业秘密；不得与委托人的潜在合同当事方有隶属关系或者其他利益关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项目单位和施工单位应当加强工程款管理，专款专用。项目单位对施工单位工程款使用情况进行监督检查时，施工单位应当积极配合，不得阻挠和拒绝。</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施工单位应当及时足额支付农民工工资。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水运建设工程质量实行终身责任制，相关市场主体对工程质量在设计使用年限内承担相应责任。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项目单位对工程质量和安全管理负总责。代建单位按照合同约定对工程质量和安全负管理责任。勘察、设计单位对勘察、设计质量负责。施工单位对施工质量和安全负责。工程监理单位对工程项目的质量和安全生产负监理责任。其他市场主体对其提供的产品或者服务负相应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与水运建设项目单位签订合同后，勘察、设计、施工单位的项目负责人和技术负责人、工程监理单位的总监理工程师等主要人员以及主要设备，未经项目单位同意不得变更。</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项目单位同意变更前款规定的主要人员和主要设备的，变更后人员的资格能力及设备主要技术指标不得低于约定的条件。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水运建设注册执业人员应当按照相关法律、法规规定执业。不得有下列行为：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（一）出租、出借注册执业证书或者执业印章；</w:t>
      </w:r>
    </w:p>
    <w:p>
      <w:pPr>
        <w:pStyle w:val="3"/>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（二）超出注册执业范围或者聘用单位业务范围从事执业活动；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（三）在非本人负责完成的文件上签字或者盖章；</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（四）法律、法规禁止的其他行为。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第二十四条</w:t>
      </w:r>
      <w:r>
        <w:rPr>
          <w:rFonts w:hint="eastAsia" w:ascii="仿宋_GB2312" w:hAnsi="仿宋_GB2312" w:eastAsia="仿宋_GB2312" w:cs="仿宋_GB2312"/>
          <w:i w:val="0"/>
          <w:caps w:val="0"/>
          <w:color w:val="auto"/>
          <w:spacing w:val="0"/>
          <w:sz w:val="32"/>
          <w:szCs w:val="32"/>
          <w:shd w:val="clear" w:fill="FFFFFF"/>
        </w:rPr>
        <w:t>　项目单位和施工、工程监理等单位应当采用信息化手段加强工程建设管理，对关键部位和隐蔽工程的施工过程进行监控记录，并将文字、图表、声像等各种形式的记录文件建档保存。</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项目单位和施工、工程监理等单位应当按照国家有关规定，建立健全档案管理制度，加强档案管理，及时、准确、完整地上报项目建设相关信息。</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项目单位应当依据国家有关信用管理的规定，建立从业单位信用信息台账，对参建的勘察、设计、施工、工程监理等单位的投标、履约行为进行评价。</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勘察、设计、施工、工程监理、项目代建、招标代理、造价咨询等单位应当按规定向省级交通运输主管部门提供本单位的信用信息，及时更新动态，并对所提供信息的真实性、准确性和完整性负责。</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第三章　监督检查</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第二十六条</w:t>
      </w:r>
      <w:r>
        <w:rPr>
          <w:rFonts w:hint="eastAsia" w:ascii="仿宋_GB2312" w:hAnsi="仿宋_GB2312" w:eastAsia="仿宋_GB2312" w:cs="仿宋_GB2312"/>
          <w:i w:val="0"/>
          <w:caps w:val="0"/>
          <w:color w:val="auto"/>
          <w:spacing w:val="0"/>
          <w:sz w:val="32"/>
          <w:szCs w:val="32"/>
          <w:shd w:val="clear" w:fill="FFFFFF"/>
        </w:rPr>
        <w:t>　各级交通运输主管部门应当加强对水运建设市场的监督检查，对发现的违法、违规行为依法及时处理，及时向社会公开水运建设市场管理相关信息。监督检查可以根据市场情况采取综合检查、专项检查、随机抽查等方式。</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交通运输部应当对水运建设市场从业行为进行监督检查，加强对直接管理的部属单位建设项目的监督检查，对省级交通运输主管部门履行水运建设管理职能情况进行监督检查。监督检查主要采取随机抽查方式。</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地方交通运输主管部门应当加强对本行政区域的水运建设市场从业行为和下级交通运输主管部门履行水运建设管理职能情况进行监督检查。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各级交通运输主管部门应当建立随机抽取被检查对象、随机选派检查人员的抽查机制，合理确定抽查比例和抽查频次。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第二十七条</w:t>
      </w:r>
      <w:r>
        <w:rPr>
          <w:rFonts w:hint="eastAsia" w:ascii="仿宋_GB2312" w:hAnsi="仿宋_GB2312" w:eastAsia="仿宋_GB2312" w:cs="仿宋_GB2312"/>
          <w:i w:val="0"/>
          <w:caps w:val="0"/>
          <w:color w:val="auto"/>
          <w:spacing w:val="0"/>
          <w:sz w:val="32"/>
          <w:szCs w:val="32"/>
          <w:shd w:val="clear" w:fill="FFFFFF"/>
        </w:rPr>
        <w:t>　交通运输主管部门履行水运建设管理职能情况主要包括：</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（一）要求建立的水运建设相关制度的建立情况；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（二）水运建设各项制度的落实情况；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（三）水运建设市场监管情况；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（四）水运建设市场信用体系建设情况；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（五）对上级主管部门水运建设市场检查意见的整改落实情况；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（六）其他水运建设管理职能的履行情况。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水运建设市场从业行为主要包括：</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（一）法律、法规、规章、强制性标准执行情况；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（二）招标投标行为；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（三）工程管理、合同履行、廉政建设、信用管理及人员履职等情况；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（四）质量安全责任履行情况；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（五）设计变更的管理情况；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（六）其他应当纳入监督管理的从业行为。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第二十八条</w:t>
      </w:r>
      <w:r>
        <w:rPr>
          <w:rFonts w:hint="eastAsia" w:ascii="仿宋_GB2312" w:hAnsi="仿宋_GB2312" w:eastAsia="仿宋_GB2312" w:cs="仿宋_GB2312"/>
          <w:i w:val="0"/>
          <w:caps w:val="0"/>
          <w:color w:val="auto"/>
          <w:spacing w:val="0"/>
          <w:sz w:val="32"/>
          <w:szCs w:val="32"/>
          <w:shd w:val="clear" w:fill="FFFFFF"/>
        </w:rPr>
        <w:t>　交通运输主管部门履行监督检查职责时，可以采取下列措施：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（一）进入工地现场对工程和市场主体的从业行为进行检查；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（二）向从业单位和有关人员了解与水运建设管理相关的情况；</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（三）查阅、复制有关工程技术文件和资料，包括工程档案、合同、发票、账簿以及其他有关资料；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（四）责令相关单位立即或者限期停止、改正违法违规行为。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对交通运输主管部门依法实施的监督检查，从业单位及其相关人员应当配合，不得拒绝、阻扰，不得隐匿、谎报有关情况和资料。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第二十九条</w:t>
      </w:r>
      <w:r>
        <w:rPr>
          <w:rFonts w:hint="eastAsia" w:ascii="仿宋_GB2312" w:hAnsi="仿宋_GB2312" w:eastAsia="仿宋_GB2312" w:cs="仿宋_GB2312"/>
          <w:i w:val="0"/>
          <w:caps w:val="0"/>
          <w:color w:val="auto"/>
          <w:spacing w:val="0"/>
          <w:sz w:val="32"/>
          <w:szCs w:val="32"/>
          <w:shd w:val="clear" w:fill="FFFFFF"/>
        </w:rPr>
        <w:t>　交通运输主管部门在检查结束后，应当将检查意见反馈给被检查单位。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被检查单位应当按照检查意见进行整改，并将整改情况报送组织检查的交通运输主管部门。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组织检查的交通运输主管部门依照国家相关规定将检查情况和检查结果向社会公开，接受社会监督。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第三十条</w:t>
      </w:r>
      <w:r>
        <w:rPr>
          <w:rFonts w:hint="eastAsia" w:ascii="仿宋_GB2312" w:hAnsi="仿宋_GB2312" w:eastAsia="仿宋_GB2312" w:cs="仿宋_GB2312"/>
          <w:i w:val="0"/>
          <w:caps w:val="0"/>
          <w:color w:val="auto"/>
          <w:spacing w:val="0"/>
          <w:sz w:val="32"/>
          <w:szCs w:val="32"/>
          <w:shd w:val="clear" w:fill="FFFFFF"/>
        </w:rPr>
        <w:t>　对有下列情形的项目单位或者从业单位，负有相应监督管理职责的交通运输主管部门可以对其负责人进行约谈警示：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（一）有较为严重的违反水运建设管理相关规定的行为的；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（二）存在重大工程质量、安全事故隐患的；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（三）项目管理混乱的；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（四）经交通运输主管部门督促，未按照检查意见进行整改或者整改不到位的；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（五）交通运输主管部门认为有必要约谈的其他情形。</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交通运输主管部门应当在约谈前向被约谈人发出书面约谈通知，通知中明确约谈事由、程序、时间、地点、参加人等事项。约谈结束后，形成约谈纪要。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对约谈事项拒不整改或者整改不力的单位，交通运输主管部门应当将相关情况在信用管理体系中予以记录，并向社会公开。</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第三十一条</w:t>
      </w:r>
      <w:r>
        <w:rPr>
          <w:rFonts w:hint="eastAsia" w:ascii="仿宋_GB2312" w:hAnsi="仿宋_GB2312" w:eastAsia="仿宋_GB2312" w:cs="仿宋_GB2312"/>
          <w:i w:val="0"/>
          <w:caps w:val="0"/>
          <w:color w:val="auto"/>
          <w:spacing w:val="0"/>
          <w:sz w:val="32"/>
          <w:szCs w:val="32"/>
          <w:shd w:val="clear" w:fill="FFFFFF"/>
        </w:rPr>
        <w:t>　县级以上交通运输主管部门应当建立健全信用管理体系，对水运建设市场主体的信用情况进行记录和评价。省级交通运输主管部门应当建立和完善信用评价、信用激励约束和信用监督管理机制。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水运建设市场主体的信用信息和信用评价结果作为政府采购、工程招标投标等活动中的重要考虑因素。</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水运建设市场主体以弄虚作假、行贿等不正当手段获取较高信用评价等级的，信用评价结果无效。交通运输主管部门应当将相关情况记入信用记录。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第三十二条</w:t>
      </w:r>
      <w:r>
        <w:rPr>
          <w:rFonts w:hint="eastAsia" w:ascii="仿宋_GB2312" w:hAnsi="仿宋_GB2312" w:eastAsia="仿宋_GB2312" w:cs="仿宋_GB2312"/>
          <w:i w:val="0"/>
          <w:caps w:val="0"/>
          <w:color w:val="auto"/>
          <w:spacing w:val="0"/>
          <w:sz w:val="32"/>
          <w:szCs w:val="32"/>
          <w:shd w:val="clear" w:fill="FFFFFF"/>
        </w:rPr>
        <w:t>　交通运输主管部门应当建立项目单位、从业单位重点监督管理制度。按照信用评价的相关规定，将存在严重失信行为，一年内三次及以上被通报或者信用等级差的项目单位、从业单位纳入重点监督管理名单，定期或者不定期地对其进行专项检查或者重点督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第三十三条</w:t>
      </w:r>
      <w:r>
        <w:rPr>
          <w:rFonts w:hint="eastAsia" w:ascii="仿宋_GB2312" w:hAnsi="仿宋_GB2312" w:eastAsia="仿宋_GB2312" w:cs="仿宋_GB2312"/>
          <w:i w:val="0"/>
          <w:caps w:val="0"/>
          <w:color w:val="auto"/>
          <w:spacing w:val="0"/>
          <w:sz w:val="32"/>
          <w:szCs w:val="32"/>
          <w:shd w:val="clear" w:fill="FFFFFF"/>
        </w:rPr>
        <w:t>　水运建设项目施工现场应当设置标示牌，标明项目的建设内容、建设工期以及项目单位、勘察、设计、施工、工程监理单位名称和主要负责人姓名、监督电话等，接受社会监督。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第三十四条</w:t>
      </w:r>
      <w:r>
        <w:rPr>
          <w:rFonts w:hint="eastAsia" w:ascii="仿宋_GB2312" w:hAnsi="仿宋_GB2312" w:eastAsia="仿宋_GB2312" w:cs="仿宋_GB2312"/>
          <w:i w:val="0"/>
          <w:caps w:val="0"/>
          <w:color w:val="auto"/>
          <w:spacing w:val="0"/>
          <w:sz w:val="32"/>
          <w:szCs w:val="32"/>
          <w:shd w:val="clear" w:fill="FFFFFF"/>
        </w:rPr>
        <w:t>　任何单位和个人有权对水运建设市场中的违法违规行为向交通运输主管部门进行投诉、举报。投诉、举报应当提供必要的证明材料。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交通运输主管部门应当公开投诉、举报受理电话、通讯地址和电子邮箱，及时处理投诉、举报，并对投诉、举报人相关信息依法予以保密。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　第三十五条</w:t>
      </w:r>
      <w:r>
        <w:rPr>
          <w:rFonts w:hint="eastAsia" w:ascii="仿宋_GB2312" w:hAnsi="仿宋_GB2312" w:eastAsia="仿宋_GB2312" w:cs="仿宋_GB2312"/>
          <w:i w:val="0"/>
          <w:caps w:val="0"/>
          <w:color w:val="auto"/>
          <w:spacing w:val="0"/>
          <w:sz w:val="32"/>
          <w:szCs w:val="32"/>
          <w:shd w:val="clear" w:fill="FFFFFF"/>
        </w:rPr>
        <w:t>　参与水运建设市场监督检查、投诉举报调查处理的人员与相关当事单位和人员有利害关系的，应当主动回避。</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监督检查工作人员应当对监督检查过程中知悉的国家秘密、商业秘密予以保密。</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第四章　法律责任</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第三十六条</w:t>
      </w:r>
      <w:r>
        <w:rPr>
          <w:rFonts w:hint="eastAsia" w:ascii="仿宋_GB2312" w:hAnsi="仿宋_GB2312" w:eastAsia="仿宋_GB2312" w:cs="仿宋_GB2312"/>
          <w:i w:val="0"/>
          <w:caps w:val="0"/>
          <w:color w:val="auto"/>
          <w:spacing w:val="0"/>
          <w:sz w:val="32"/>
          <w:szCs w:val="32"/>
          <w:shd w:val="clear" w:fill="FFFFFF"/>
        </w:rPr>
        <w:t>　违反本办法规定，项目单位将工程发包给不具有相应资质等级的勘察、设计、施工、工程监理单位的，依照《建设工程质量管理条例》第五十四条规定，责令改正，按照以下标准处以罚款：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（一）项目单位选择超越资质等级的勘察、设计、施工、工程监理单位进行工程建设的，处50万元以上80万元以下的罚款；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（二）项目单位选择无资质的勘察、设计、施工、工程监理单位进行工程建设的，处80万元以上100万元以下的罚款。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第三十七条</w:t>
      </w:r>
      <w:r>
        <w:rPr>
          <w:rFonts w:hint="eastAsia" w:ascii="仿宋_GB2312" w:hAnsi="仿宋_GB2312" w:eastAsia="仿宋_GB2312" w:cs="仿宋_GB2312"/>
          <w:i w:val="0"/>
          <w:caps w:val="0"/>
          <w:color w:val="auto"/>
          <w:spacing w:val="0"/>
          <w:sz w:val="32"/>
          <w:szCs w:val="32"/>
          <w:shd w:val="clear" w:fill="FFFFFF"/>
        </w:rPr>
        <w:t>　违反本办法规定，承包单位超越资质等级承揽工程的，依照《建设工程质量管理条例》第六十条规定，责令停止违法行为，按照以下标准处以罚款；有违法所得的，予以没收：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（一）工程尚未开工建设的，对勘察、设计单位或者工程监理单位处合同约定的勘察费、设计费或者监理酬金1倍的罚款；对施工单位处工程合同价款2%的罚款；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（二）工程已开工建设的，对勘察、设计单位或者工程监理单位处合同约定的勘察费、设计费或者监理酬金1倍以上2倍以下的罚款；对施工单位处工程合同价款2%以上4%以下的罚款。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未取得资质证书承揽工程的，予以取缔，依照前款规定处以罚款；有违法所得的，予以没收。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第三十八条</w:t>
      </w:r>
      <w:r>
        <w:rPr>
          <w:rFonts w:hint="eastAsia" w:ascii="仿宋_GB2312" w:hAnsi="仿宋_GB2312" w:eastAsia="仿宋_GB2312" w:cs="仿宋_GB2312"/>
          <w:i w:val="0"/>
          <w:caps w:val="0"/>
          <w:color w:val="auto"/>
          <w:spacing w:val="0"/>
          <w:sz w:val="32"/>
          <w:szCs w:val="32"/>
          <w:shd w:val="clear" w:fill="FFFFFF"/>
        </w:rPr>
        <w:t>　违反本办法规定，勘察、设计、施工、工程监理单位允许其他单位或者个人以本单位名义承揽工程的，依照《建设工程质量管理条例》第六十一条规定，责令改正，没收违法所得，按照以下标准处以罚款：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勘察、设计、施工、工程监理单位允许有相应资质并符合本工程建设要求的单位或者个人以本单位名义承揽工程的，对勘察、设计单位或者工程监理单位处合同约定的勘察费、设计费或者监理酬金1倍以上1.5倍以下的罚款；对施工单位处工程合同价款2%以上3%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勘察、设计、施工、工程监理单位允许无相应资质的单位或者个人以本单位名义承揽工程的，对勘察、设计单位或者工程监理单位处合同约定的勘察费、设计费或者监理酬金1.5倍以上2倍以下的罚款；对施工单位处工程合同价款3%以上4%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第三十九条</w:t>
      </w:r>
      <w:r>
        <w:rPr>
          <w:rFonts w:hint="eastAsia" w:ascii="仿宋_GB2312" w:hAnsi="仿宋_GB2312" w:eastAsia="仿宋_GB2312" w:cs="仿宋_GB2312"/>
          <w:i w:val="0"/>
          <w:caps w:val="0"/>
          <w:color w:val="auto"/>
          <w:spacing w:val="0"/>
          <w:sz w:val="32"/>
          <w:szCs w:val="32"/>
          <w:shd w:val="clear" w:fill="FFFFFF"/>
        </w:rPr>
        <w:t>　违反国家关于基本建设程序相关规定，项目单位未取得施工许可证或者开工报告未经批准，擅自施工的，依据《建设工程质量管理条例》第五十七条规定，责令停止施工，限期改正，按照以下标准处以罚款：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（一）已通过项目审批、核准或者设计审批手续，但是未取得施工许可证或者开工报告未经批准，擅自施工的，处工程合同价款1%以上1.5%以下的罚款；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（二）未取得项目审批、核准或者设计审批，擅自施工的，处工程合同价款1.5%以上2%以下的罚款。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第四十条</w:t>
      </w:r>
      <w:r>
        <w:rPr>
          <w:rFonts w:hint="eastAsia" w:ascii="仿宋_GB2312" w:hAnsi="仿宋_GB2312" w:eastAsia="仿宋_GB2312" w:cs="仿宋_GB2312"/>
          <w:i w:val="0"/>
          <w:caps w:val="0"/>
          <w:color w:val="auto"/>
          <w:spacing w:val="0"/>
          <w:sz w:val="32"/>
          <w:szCs w:val="32"/>
          <w:shd w:val="clear" w:fill="FFFFFF"/>
        </w:rPr>
        <w:t>　违反国家相关规定和本办法规定，项目单位明示或者暗示设计、施工单位违反工程建设强制性标准、降低工程质量的，勘察、设计单位未执行工程建设强制性标准的，施工单位不按照工程设计图纸或者施工技术标准施工的，工程监理单位与建设单位或者施工单位串通，弄虚作假、降低工程质量的，依照《建设工程质量管理条例》第五十六条、第六十三条、第六十四条、第六十七条规定作出罚款决定的，按照以下标准处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（一）工程尚未开工建设的，对项目单位处20万元以上30万元以下的罚款；对勘察、设计单位处10万元以上20万元以下的罚款；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二）工程已开工建设的，对项目单位处30万元以上50万元以下的罚款；对勘察、设计单位处20万元以上30万元以下的罚款；对施工单位处工程合同价款2%以上4%以下的罚款；对工程监理单位处50万元以上100万元以下的罚款。</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b/>
          <w:bCs/>
          <w:i w:val="0"/>
          <w:caps w:val="0"/>
          <w:color w:val="auto"/>
          <w:spacing w:val="0"/>
          <w:sz w:val="32"/>
          <w:szCs w:val="32"/>
          <w:shd w:val="clear" w:fill="FFFFFF"/>
        </w:rPr>
        <w:t>第四十一条</w:t>
      </w:r>
      <w:r>
        <w:rPr>
          <w:rFonts w:hint="eastAsia" w:ascii="仿宋_GB2312" w:hAnsi="仿宋_GB2312" w:eastAsia="仿宋_GB2312" w:cs="仿宋_GB2312"/>
          <w:i w:val="0"/>
          <w:caps w:val="0"/>
          <w:color w:val="auto"/>
          <w:spacing w:val="0"/>
          <w:sz w:val="32"/>
          <w:szCs w:val="32"/>
          <w:shd w:val="clear" w:fill="FFFFFF"/>
        </w:rPr>
        <w:t>　依照《建设工程质量管理条例》规定给予单位罚款处罚的，对单位直接负责的主管人员和其他直接责任人员处单位罚款数额5%以上10%以下的罚款。</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both"/>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第五章　附则</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bookmarkStart w:id="0" w:name="_GoBack"/>
      <w:r>
        <w:rPr>
          <w:rFonts w:hint="eastAsia" w:ascii="仿宋_GB2312" w:hAnsi="仿宋_GB2312" w:eastAsia="仿宋_GB2312" w:cs="仿宋_GB2312"/>
          <w:b/>
          <w:bCs/>
          <w:i w:val="0"/>
          <w:caps w:val="0"/>
          <w:color w:val="auto"/>
          <w:spacing w:val="0"/>
          <w:sz w:val="32"/>
          <w:szCs w:val="32"/>
          <w:shd w:val="clear" w:fill="FFFFFF"/>
        </w:rPr>
        <w:t>第四十二条</w:t>
      </w:r>
      <w:r>
        <w:rPr>
          <w:rFonts w:hint="eastAsia" w:ascii="仿宋_GB2312" w:hAnsi="仿宋_GB2312" w:eastAsia="仿宋_GB2312" w:cs="仿宋_GB2312"/>
          <w:i w:val="0"/>
          <w:caps w:val="0"/>
          <w:color w:val="auto"/>
          <w:spacing w:val="0"/>
          <w:sz w:val="32"/>
          <w:szCs w:val="32"/>
          <w:shd w:val="clear" w:fill="FFFFFF"/>
        </w:rPr>
        <w:t>　本办法自2017年2月1日起施行。</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仿宋_GB2312" w:hAnsi="仿宋_GB2312" w:eastAsia="仿宋_GB2312" w:cs="仿宋_GB2312"/>
          <w:i w:val="0"/>
          <w:caps w:val="0"/>
          <w:color w:val="auto"/>
          <w:spacing w:val="0"/>
          <w:sz w:val="24"/>
          <w:szCs w:val="24"/>
          <w:shd w:val="clear" w:fill="FFFFFF"/>
        </w:rPr>
      </w:pPr>
    </w:p>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0097A"/>
    <w:rsid w:val="154720A0"/>
    <w:rsid w:val="2D820870"/>
    <w:rsid w:val="3D900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2021-01-06T07:44:00Z</dcterms:created>
  <dc:creator>洪金侠</dc:creator>
  <cp:lastModifiedBy>洪金侠</cp:lastModifiedBy>
  <dcterms:modified xsi:type="dcterms:W3CDTF">2021-01-20T09:24:16Z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