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5"/>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中华人民共和国公路法</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Style w:val="5"/>
          <w:rFonts w:hint="eastAsia" w:asciiTheme="minorEastAsia" w:hAnsiTheme="minorEastAsia" w:cstheme="minorEastAsia"/>
          <w:b w:val="0"/>
          <w:bCs w:val="0"/>
          <w:i w:val="0"/>
          <w:caps w:val="0"/>
          <w:color w:val="auto"/>
          <w:spacing w:val="0"/>
          <w:sz w:val="24"/>
          <w:szCs w:val="24"/>
          <w:shd w:val="clear" w:fill="FFFFFF"/>
          <w:lang w:eastAsia="zh-CN"/>
        </w:rPr>
      </w:pP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Theme="minorEastAsia" w:hAnsiTheme="minorEastAsia" w:eastAsiaTheme="minorEastAsia" w:cstheme="minorEastAsia"/>
          <w:b w:val="0"/>
          <w:bCs w:val="0"/>
          <w:color w:val="auto"/>
          <w:sz w:val="24"/>
          <w:szCs w:val="24"/>
          <w:lang w:eastAsia="zh-CN"/>
        </w:rPr>
      </w:pPr>
      <w:r>
        <w:rPr>
          <w:rStyle w:val="5"/>
          <w:rFonts w:hint="eastAsia" w:asciiTheme="minorEastAsia" w:hAnsiTheme="minorEastAsia" w:cstheme="minorEastAsia"/>
          <w:b w:val="0"/>
          <w:bCs w:val="0"/>
          <w:i w:val="0"/>
          <w:caps w:val="0"/>
          <w:color w:val="auto"/>
          <w:spacing w:val="0"/>
          <w:sz w:val="24"/>
          <w:szCs w:val="24"/>
          <w:shd w:val="clear" w:fill="FFFFFF"/>
          <w:lang w:eastAsia="zh-CN"/>
        </w:rPr>
        <w:t>（</w:t>
      </w:r>
      <w:r>
        <w:rPr>
          <w:rStyle w:val="5"/>
          <w:rFonts w:hint="eastAsia" w:asciiTheme="minorEastAsia" w:hAnsiTheme="minorEastAsia" w:eastAsiaTheme="minorEastAsia" w:cstheme="minorEastAsia"/>
          <w:b w:val="0"/>
          <w:bCs w:val="0"/>
          <w:i w:val="0"/>
          <w:caps w:val="0"/>
          <w:color w:val="auto"/>
          <w:spacing w:val="0"/>
          <w:sz w:val="24"/>
          <w:szCs w:val="24"/>
          <w:shd w:val="clear" w:fill="FFFFFF"/>
        </w:rPr>
        <w:t>中华人民共和国主席令</w:t>
      </w:r>
      <w:r>
        <w:rPr>
          <w:rFonts w:hint="eastAsia" w:asciiTheme="minorEastAsia" w:hAnsiTheme="minorEastAsia" w:eastAsiaTheme="minorEastAsia" w:cstheme="minorEastAsia"/>
          <w:b w:val="0"/>
          <w:bCs w:val="0"/>
          <w:i w:val="0"/>
          <w:caps w:val="0"/>
          <w:color w:val="auto"/>
          <w:spacing w:val="0"/>
          <w:sz w:val="24"/>
          <w:szCs w:val="24"/>
          <w:shd w:val="clear" w:fill="FFFFFF"/>
        </w:rPr>
        <w:t>第</w:t>
      </w:r>
      <w:r>
        <w:rPr>
          <w:rFonts w:hint="eastAsia" w:asciiTheme="minorEastAsia" w:hAnsiTheme="minorEastAsia" w:cstheme="minorEastAsia"/>
          <w:b w:val="0"/>
          <w:bCs w:val="0"/>
          <w:i w:val="0"/>
          <w:caps w:val="0"/>
          <w:color w:val="auto"/>
          <w:spacing w:val="0"/>
          <w:sz w:val="24"/>
          <w:szCs w:val="24"/>
          <w:shd w:val="clear" w:fill="FFFFFF"/>
          <w:lang w:val="en-US" w:eastAsia="zh-CN"/>
        </w:rPr>
        <w:t>八十一</w:t>
      </w:r>
      <w:r>
        <w:rPr>
          <w:rFonts w:hint="eastAsia" w:asciiTheme="minorEastAsia" w:hAnsiTheme="minorEastAsia" w:eastAsiaTheme="minorEastAsia" w:cstheme="minorEastAsia"/>
          <w:b w:val="0"/>
          <w:bCs w:val="0"/>
          <w:i w:val="0"/>
          <w:caps w:val="0"/>
          <w:color w:val="auto"/>
          <w:spacing w:val="0"/>
          <w:sz w:val="24"/>
          <w:szCs w:val="24"/>
          <w:shd w:val="clear" w:fill="FFFFFF"/>
        </w:rPr>
        <w:t>号</w:t>
      </w:r>
      <w:r>
        <w:rPr>
          <w:rFonts w:hint="eastAsia" w:asciiTheme="minorEastAsia" w:hAnsiTheme="minorEastAsia" w:cstheme="minorEastAsia"/>
          <w:b w:val="0"/>
          <w:bCs w:val="0"/>
          <w:i w:val="0"/>
          <w:caps w:val="0"/>
          <w:color w:val="auto"/>
          <w:spacing w:val="0"/>
          <w:sz w:val="24"/>
          <w:szCs w:val="24"/>
          <w:shd w:val="clear" w:fill="FFFFFF"/>
          <w:lang w:eastAsia="zh-CN"/>
        </w:rPr>
        <w:t>）</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b w:val="0"/>
          <w:bCs w:val="0"/>
          <w:i w:val="0"/>
          <w:caps w:val="0"/>
          <w:color w:val="auto"/>
          <w:spacing w:val="0"/>
          <w:sz w:val="24"/>
          <w:szCs w:val="24"/>
          <w:shd w:val="clear" w:fill="FFFFFF"/>
        </w:rPr>
      </w:pP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全国人民代表大会常务委员会关于修改〈中华人民共和国会计法〉等十一部法律的决定》已由中华人民共和国第十二届全国人民代表大会常务委员会第三十次会议于2017年11月4日通过，现予公布，自2017年11月5日起施行。</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560" w:firstLineChars="1900"/>
        <w:textAlignment w:val="auto"/>
        <w:rPr>
          <w:rFonts w:hint="eastAsia" w:asciiTheme="minorEastAsia" w:hAnsiTheme="minorEastAsia" w:eastAsiaTheme="minorEastAsia" w:cstheme="minorEastAsia"/>
          <w:b w:val="0"/>
          <w:bCs w:val="0"/>
          <w:i w:val="0"/>
          <w:caps w:val="0"/>
          <w:color w:val="auto"/>
          <w:spacing w:val="0"/>
          <w:sz w:val="24"/>
          <w:szCs w:val="24"/>
          <w:shd w:val="clear" w:fill="FFFFFF"/>
        </w:rPr>
      </w:pP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800" w:firstLineChars="20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caps w:val="0"/>
          <w:color w:val="auto"/>
          <w:spacing w:val="0"/>
          <w:sz w:val="24"/>
          <w:szCs w:val="24"/>
          <w:shd w:val="clear" w:fill="FFFFFF"/>
        </w:rPr>
        <w:t>中华人民共和国主席 习近平</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5520" w:firstLineChars="2300"/>
        <w:textAlignment w:val="auto"/>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eastAsiaTheme="minorEastAsia" w:cstheme="minorEastAsia"/>
          <w:b w:val="0"/>
          <w:bCs w:val="0"/>
          <w:i w:val="0"/>
          <w:caps w:val="0"/>
          <w:color w:val="auto"/>
          <w:spacing w:val="0"/>
          <w:sz w:val="24"/>
          <w:szCs w:val="24"/>
          <w:shd w:val="clear" w:fill="FFFFFF"/>
        </w:rPr>
        <w:t>2017年11月4日</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0"/>
        <w:textAlignment w:val="auto"/>
        <w:rPr>
          <w:rFonts w:hint="eastAsia" w:asciiTheme="minorEastAsia" w:hAnsiTheme="minorEastAsia" w:eastAsiaTheme="minorEastAsia" w:cstheme="minorEastAsia"/>
          <w:b w:val="0"/>
          <w:bCs w:val="0"/>
          <w:i w:val="0"/>
          <w:caps w:val="0"/>
          <w:color w:val="auto"/>
          <w:spacing w:val="0"/>
          <w:sz w:val="24"/>
          <w:szCs w:val="24"/>
          <w:shd w:val="clear" w:fill="FFFFFF"/>
        </w:rPr>
      </w:pP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480" w:firstLineChars="200"/>
        <w:textAlignment w:val="auto"/>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eastAsiaTheme="minorEastAsia" w:cstheme="minorEastAsia"/>
          <w:b w:val="0"/>
          <w:bCs w:val="0"/>
          <w:i w:val="0"/>
          <w:caps w:val="0"/>
          <w:color w:val="auto"/>
          <w:spacing w:val="0"/>
          <w:sz w:val="24"/>
          <w:szCs w:val="24"/>
          <w:shd w:val="clear" w:fill="FFFFFF"/>
        </w:rPr>
        <w:t>（1997年7月3日第八届全国人民代表大会常务委员会第二十六次会议通过 根据1999年10月31日第九届全国人民代表大会常务委员会第十二次会议《关于修改〈中华人民共和国公路法〉的决定》第一次修正 根据2004年8月28日中华人民共和国主席令第19号《关于修改〈中华人民共和国公路法〉的决定》第二次修正 根据2009年8月27日中华人民共和国主席令第18号《全国人民代表大会常务委员会关于修改部分法律的决定》第三次修正 根据2016年11月7日中华人民共和国主席令第57号《全国人民代表大会常务委员会关于修改&lt;中华人民共和国对外贸易法&gt;等十二部法律的决定》第四次修正 根据2017年11月4日第十二届全国人民代表大会常务委员会第三十次会议通过的《全国人民代表大会常务委员会关于修改&lt;中华人民共和国会计法&gt;等十一部法律的决定》第五次修正）</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firstLine="883" w:firstLineChars="200"/>
        <w:textAlignment w:val="auto"/>
        <w:rPr>
          <w:rFonts w:hint="eastAsia" w:asciiTheme="minorEastAsia" w:hAnsiTheme="minorEastAsia" w:eastAsiaTheme="minorEastAsia" w:cstheme="minorEastAsia"/>
          <w:b/>
          <w:bCs/>
          <w:i w:val="0"/>
          <w:caps w:val="0"/>
          <w:color w:val="auto"/>
          <w:spacing w:val="0"/>
          <w:sz w:val="44"/>
          <w:szCs w:val="44"/>
          <w:shd w:val="clear" w:fill="FFFFFF"/>
        </w:rPr>
      </w:pP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中华人民共和国公路法</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第一章  总则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82" w:firstLineChars="20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为了加强公路的建设和管理，促进公路事业的发展，适应社会主义现代化建设和人民生活的需要，制定本法。</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在中华人民共和国境内从事公路的规划、建设、养护、经营、使用和管理，适用本法。</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本法所称公路，包括公路桥梁、公路隧道和公路渡口。</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公路的发展应当遵循全面规划、合理布局、确保质量、保障畅通、保护环境、建设改造与养护并重的原则。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各级人民政府应当采取有力措施，扶持、促进公路建设。公路建设应当纳入国民经济和社会发展计划。</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国家鼓励、引导国内外经济组织依法投资建设、经营公路。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国家帮助和扶持少数民族地区、边远地区和贫困地区发展公路建设。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公路按其在公路路网中的地位分为国道、省道、县道和乡道，并按技术等级分为高速公路、一级公路、二级公路、三级公路和四级公路。具体划分标准由国务院交通主管部门规定。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新建公路应当符合技术等级的要求。原有不符合最低技术等级要求的等外公路，应当采取措施，逐步改造为符合技术等级要求的公路。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公路受国家保护，任何单位和个人不得破坏、损坏或者非法占用公路、公路用地及公路附属设施。</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任何单位和个人都有爱护公路、公路用地及公路附属设施的义务，有权检举和控告破坏、损坏公路、公路用地、公路附属设施和影响公路安全的行为。</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国务院交通主管部门主管全国公路工作。</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县级以上地方人民政府交通主管部门主管本行政区域内的公路工作；但是，县级以上地方人民政府交通主管部门对国道、省道的管理、监督职责，由省、自治区、直辖市人民政府确定。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乡、民族乡、镇人民政府负责本行政区域内的乡道的建设和养护工作。</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县级以上地方人民政府交通主管部门可以决定由公路管理机构依照本法规定行使公路行政管理职责。</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禁止任何单位和个人在公路上非法设卡、收费、罚款和拦截车辆。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国家鼓励公路工作方面的科学技术研究，对在公路科学技术研究和应用方面作出显著成绩的单位和个人给予奖励。</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本法对专用公路有规定的，适用于专用公路。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专用公路是指由企业或者其他单位建设、养护、管理，专为或者主要为本企业或者本单位提供运输服务的道路。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第二章  公路规划</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公路规划应当根据国民经济和社会发展以及国防建设的需要编制，与城市建设发展规划和其他方式的交通运输发展规划相协调。</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公路建设用地规划应当符合土地利用总体规划，当年建设用地应当纳入年度建设用地计划。</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国道规划由国务院交通主管部门会同国务院有关部门并商国道沿线省、自治区、直辖市人民政府编制，报国务院批准。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省道规划由省、自治区、直辖市人民政府交通主管部门会同同级有关部门并商省道沿线下一级人民政府编制，报省、自治区、直辖市人民政府批准，并报国务院交通主管部门备案。</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县道规划由县级人民政府交通主管部门会同同级有关部门编制，经本级人民政府审定后，报上一级人民政府批准。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乡道规划由县级人民政府交通主管部门协助乡、民族乡、镇人民政府编制，报县级人民政府批准。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依照第三款、第四款规定批准的县道、乡道规划，应当报批准机关的上一级人民政府交通主管部门备案。</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省道规划应当与国道规划相协调。县道规划应当与省道规划相协调。乡道规划应当与县道规划相协调。</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专用公路规划由专用公路的主管单位编制，经其上级主管部门审定后，报县级以上人民政府交通主管部门审核。</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专用公路规划应当与公路规划相协调。县级以上人民政府交通主管部门发现专用公路规划与国道、省道、县道、乡道规划有不协调的地方，应当提出修改意见，专用公路主管部门和单位应当作出相应的修改。</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国道规划的局部调整由原编制机关决定。国道规划需要作重大修改的，由原编制机关提出修改方案，报国务院批准。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经批准的省道、县道、乡道公路规划需要修改的，由原编制机关提出修改方案，报原批准机关批准。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国道的命名和编号，由国务院交通主管部门确定；省道、县道、乡道的命名和编号，由省、自治区、直辖市人民政府交通主管部门按照国务院交通主管部门的有关规定确定。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规划和新建村镇、开发区，应当与公路保持规定的距离并避免在公路两侧对应进行，防止造成公路街道化，影响公路的运行安全与畅通。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鼓励专用公路用于社会公共运输。专用公路主要用于社会公共运输时，由专用公路的主管单位申请，或者由有关方面申请，专用公路的主管单位同意，并经省、自治区、直辖市人民政府交通主管部门批准，可以改划为省道、县道或者乡道。</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第三章  公路建设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县级以上人民政府交通主管部门应当依据职责维护公路建设秩序，加强对公路建设的监督管理。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筹集公路建设资金，除各级人民政府的财政拨款，包括依法征税筹集的公路建设专项资金转为的财政拨款外，可以依法向国内外金融机构或者外国政府贷款。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国家鼓励国内外经济组织对公路建设进行投资。开发、经营公路的公司可以依照法律、行政法规的规定发行股票、公司债券筹集资金。</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依照本法规定出让公路收费权的收入必须用于公路建设。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向企业和个人集资建设公路，必须根据需要与可能，坚持自愿原则，不得强行摊派，并符合国务院的有关规定。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公路建设资金还可以采取符合法律或者国务院规定的其他方式筹集。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公路建设应当按照国家规定的基本建设程序和有关规定进行。</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公路建设项目应当按照国家有关规定实行法人负责制度、招标投标制度和工程监理制度。</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单位应当根据公路建设工程的特点和技术要求，选择具有相应资格的勘查设计单位、施工单位和工程监理单位，并依照有关法律、法规、规章的规定和公路工程技术标准的要求，分别签订合同，明确双方的权利义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承担公路建设项目的可行性研究单位、勘查设计单位、施工单位和工程监理单位，必须持有国家规定的资质证书。</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公路建设项目的施工，须按国务院交通主管部门的规定报请县级以上地方人民政府交通主管部门批准。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公路建设必须符合公路工程技术标准。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承担公路建设项目的设计单位、施工单位和工程监理单位，应当按照国家有关规定建立健全质量保证体系，落实岗位责任制，并依照有关法律、法规、规章以及公路工程技术标准的要求和合同约定进行设计、施工和监理，保证公路工程质量。</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公路建设使用土地依照有关法律、行政法规的规定办理。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公路建设应当贯彻切实保护耕地、节约用地的原则。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公路建设需要使用国有荒山、荒地或者需要在国有荒山、荒地、河滩、滩涂上挖砂、采石、取土的，依照有关法律、行政法规的规定办理后，任何单位和个人不得阻挠或者非法收取费用。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第二十九条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地方各级人民政府对公路建设依法使用土地和搬迁居民，应当给予支持和协助。</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公路建设项目的设计和施工，应当符合依法保护环境、保护文物古迹和防止水土流失的要求。</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公路规划中贯彻国防要求的公路建设项目，应当严格按照规划进行建设，以保证国防交通的需要。</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因建设公路影响铁路、水利、电力、邮电设施和其他设施正常使用时，公路建设单位应当事先征得有关部门的同意；因公路建设对有关设施造成损坏的，公路建设单位应当按照不低于该设施原有的技术标准予以修复，或者给予相应的经济补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改建公路时，施工单位应当在施工路段两端设置明显的施工标志、安全标志。需要车辆绕行的，应当在绕行路口设置标志；不能绕行的，必须修建临时道路，保证车辆和行人通行。</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公路建设项目和公路修复项目竣工后，应当按照国家有关规定进行验收；未经验收或者验收不合格的，不得交付使用。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建成的公路，应当按照国务院交通主管部门的规定设置明显的标志、标线。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县级以上地方人民政府应当确定公路两侧边沟（截水沟、坡脚护坡道，下同）外缘起不少于一米的公路用地。</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第四章  公路养护</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公路管理机构应当按照国务院交通主管部门规定的技术规范和操作规程对公路进行养护，保证公路经常处于良好的技术状态。</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国家采用依法征税的办法筹集公路养护资金，具体实施办法和步骤由国务院规定。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依法征税筹集的公路养护资金，必须专项用于公路的养护和改建。</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县、乡级人民政府对公路养护需要的挖砂、采石、取土以及取水，应当给予支持和协助。</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县、乡级人民政府应当在农村义务工的范围内，按照国家有关规定组织公路两侧的农村居民履行为公路建设和养护提供劳务的义务。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第三十九条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为保障公路养护人员的人身安全，公路养护人员进行养护作业时，应当穿着统一的安全标志服；利用车辆进行养护作业时，应当在公路作业车辆上设置明显的作业标志。</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公路养护车辆进行作业时，在不影响过往车辆通行的前提下，其行驶路线和方向不受公路标志、标线限制；过往车辆对公路养护车辆和人员应当注意避让。</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公路养护工程施工影响车辆、行人通行时，施工单位应当依照本法第三十二条的规定办理。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因严重自然灾害致使国道、省道交通中断，公路管理机构应当及时修复；公路管理机构难以及时修复时，县级以上地方人民政府应当及时组织当地机关、团体、企业事业单位、城乡居民进行抢修，并可以请求当地驻军支援，尽快恢复交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公路用地范围内的山坡、荒地，由公路管理机构负责水土保持。</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公路绿化工作，由公路管理机构按照公路工程技术标准组织实施。</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公路用地上的树木，不得任意砍伐；需要更新砍伐的，应当经县级以上地方人民政府交通主管部门同意后，依照《中华人民共和国森林法》的规定办理审批手续，并完成更新补种任务。</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第五章  路政管理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各级地方人民政府应当采取措施，加强对公路的保护。</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县级以上地方人民政府交通主管部门应当认真履行职责，依法做好公路保护工作，并努力采用科学的管理方法和先进的技术手段，提高公路管理水平，逐步完善公路服务设施，保障公路的完好、安全和畅通。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任何单位和个人不得擅自占用、挖掘公路。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任何单位和个人不得在公路上及公路用地范围内摆摊设点、堆放物品、倾倒垃圾、设置障碍、挖沟引水、利用公路边沟排放污物或者进行其他损坏、污染公路和影响公路畅通的活动。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铁轮车、履带车和其他可能损害公路路面的机具，不得在公路上行驶。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农业机械因当地田间作业需要在公路上短距离行驶或者军用车辆执行任务需要在公路上行驶的，可以不受前款限制，但是应当采取安全保护措施。对公路造成损坏的，应当按照损坏程度给予补偿。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第四十九条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在公路上行驶的车辆的轴载质量应当符合公路工程技术标准要求。</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运输单位不能按照前款规定采取防护措施的，由交通主管部门帮助其采取防护措施，所需费用由运输单位承担。</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机动车制造厂和其他单位不得将公路作为检验机动车制动性能的试车场地。</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任何单位和个人不得损坏、擅自移动、涂改公路附属设施。</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造成公路损坏的，责任者应当及时报告公路管理机构，并接受公路管理机构的现场调查。</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任何单位和个人未经县级以上地方人民政府交通主管部门批准，不得在公路用地范围内设置公路标志以外的其他标志。</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在公路上增设平面交叉道口，必须按照国家有关规定经过批准，并按照国家规定的技术标准建设。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除公路防护、养护需要的以外，禁止在公路两侧的建筑控制区内修建建筑物和地面构筑物；需要在建筑控制区内埋设管线、电缆等设施的，应当事先经县级以上地方人民政府交通主管部门批准。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前款规定的建筑控制区的范围，由县级以上地方人民政府按照保障公路运行安全和节约用地的原则，依照国务院的规定划定。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除本法第四十七条第二款的规定外，本章规定由交通主管部门行使的路政管理职责，可以依照本法第八条第四款的规定，由公路管理机构行使。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第六章  收费公路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国家允许依法设立收费公路，同时对收费公路的数量进行控制。</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除本法第五十九条规定可以收取车辆通行费的公路外，禁止任何公路收取车辆通行费。</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第五十九条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符合国务院交通主管部门规定的技术等级和规模的下列公路，可以依法收取车辆通行费：</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（一）由县级以上地方人民政府交通主管部门利用贷款或者向企业、个人集资建成的公路；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（二）由国内外经济组织依法受让前项收费公路收费权的公路；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（三）由国内外经济组织依法投资建成的公路。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县级以上地方人民政府交通主管部门利用贷款或者集资建成的收费公路的收费期限，按照收费偿还贷款、集资款的原则，由省、自治区、直辖市人民政府依照国务院交通主管部门的规定确定。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有偿转让公路收费权的公路，收费权转让后，由受让方收费经营。收费权的转让期限由出让、受让双方约定，最长不得超过国务院规定的年限。</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国内外经济组织投资建设公路，必须按照国家有关规定办理审批手续；公路建成后，由投资者收费经营。收费经营期限按照收回投资并有合理回报的原则，由有关交通主管部门与投资者约定并按照国家有关规定办理审批手续，但最长不得超过国务院规定的年限。</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本法第五十九条第一款第一项规定的公路中的国道收费权的转让，应当在转让协议签订之日起三十个工作日内报国务院交通主管部门备案；国道以外的其他公路收费权的转让，应当在转让协议签订之日起三十个工作日内报省、自治区、直辖市人民政府备案</w:t>
      </w:r>
      <w:bookmarkStart w:id="0" w:name="ref_[2]_247362"/>
      <w:r>
        <w:rPr>
          <w:rFonts w:hint="eastAsia" w:ascii="仿宋_GB2312" w:hAnsi="仿宋_GB2312" w:eastAsia="仿宋_GB2312" w:cs="仿宋_GB2312"/>
          <w:i w:val="0"/>
          <w:caps w:val="0"/>
          <w:color w:val="auto"/>
          <w:spacing w:val="0"/>
          <w:kern w:val="0"/>
          <w:sz w:val="32"/>
          <w:szCs w:val="32"/>
          <w:shd w:val="clear" w:fill="FFFFFF"/>
          <w:lang w:val="en-US" w:eastAsia="zh-CN" w:bidi="ar"/>
        </w:rPr>
        <w:t>。</w:t>
      </w: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 </w:t>
      </w:r>
      <w:bookmarkEnd w:id="0"/>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前款规定的公路收费权出让的最低成交价，以国有资产评估机构评估的价值为依据确定。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受让公路收费权和投资建设公路的国内外经济组织应当依法成立开发、经营公路的企业（以下简称公路经营企业）。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收费公路车辆通行费的收费标准，由公路收费单位提出方案，报省、自治区、直辖市人民政府交通主管部门会同同级物价行政主管部门审查批准。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两个收费站之间的距离，不得小于国务院交通主管部门规定的标准。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有偿转让公路收费权的公路，转让收费权合同约定的期限届满，收费权由出让方收回。</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由国内外经济组织依照本法规定投资建成并经营的收费公路，约定的经营期限届满，该公路由国家无偿收回，由有关交通主管部门管理。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依照本法第五十九条规定受让收费权或者由国内外经济组织投资建成经营的公路的养护工作，由各该公路经营企业负责。各该公路经营企业在经营期间应当按照国务院交通主管部门规定的技术规范和操作规程做好对公路的养护工作。在受让收费权的期限届满，或者经营期限届满时，公路应当处于良好的技术状态。</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前款规定的公路的绿化和公路用地范围内的水土保持工作，由各该公路经营企业负责。</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第一款规定的公路的路政管理，适用本法第五章的规定。该公路路政管理的职责由县级以上地方人民政府交通主管部门或者公路管理机构的派出机构、人员行使。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在收费公路上从事本法第四十四条第二款、第四十五条、第四十八条、第五十条所列活动的，除依照各该条的规定办理外，给公路经营企业造成损失的，应当给予相应的补偿。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方正仿宋简体" w:hAnsi="方正仿宋简体" w:eastAsia="方正仿宋简体" w:cs="方正仿宋简体"/>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收费公路的具体管理办法，由国务院依照本法制定。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第七章  监督检查</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第六十九条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交通主管部门、公路管理机构依法对有关公路的法律、法规执行情况进行监督检查。</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交通主管部门、公路管理机构负有管理和保护公路的责任，有权检查、制止各种侵占、损坏公路、公路用地、公路附属设施及其他违反本法规定的行为。</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公路监督检查人员依法在公路、建筑控制区、车辆停放场所、车辆所属单位等进行监督检查时，任何单位和个人不得阻挠。</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公路经营者、使用者和其他有关单位、个人，应当接受公路监督检查人员依法实施的监督检查，并为其提供方便。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公路监督检查人员执行公务，应当佩戴标志，持证上岗。</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交通主管部门、公路管理机构应当加强对所属公路监督检查人员的管理和教育，要求公路监督检查人员熟悉国家有关法律和规定，公正廉洁，热情服务，秉公执法，对公路监督检查人员的执法行为应当加强监督检查，对其违法行为应当及时纠正，依法处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用于公路监督检查的专用车辆，应当设置统一的标志和示警灯。</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第八章  法律责任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违反本法第二十五条规定，未经有关交通主管部门批准擅自施工的，交通主管部门可以责令停止施工，并可以处五万元以下的罚款。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有下列违法行为之一的，由交通主管部门责令停止违法行为，可以处三万元以下的罚款：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（一）违反本法第四十四条第一款规定，擅自占用、挖掘公路的；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（二）违反本法第四十五条规定，未经同意或者未按照公路工程技术标准的要求修建桥梁、渡槽或者架设、埋设管线、电缆等设施的；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（三）违反本法第四十七条规定，从事危及公路安全的作业的；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（四）违反本法第四十八条规定，铁轮车、履带车和其他可能损害路面的机具擅自在公路上行驶的；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（五）违反本法第五十条规定，车辆超限使用汽车渡船或者在公路上擅自超限行驶的；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（六）违反本法第五十二条、第五十六条规定，损坏、移动、涂改公路附属设施或者损坏、挪动建筑控制区的标桩、界桩，可能危及公路安全的。</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第七十八条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违反本法第五十三条规定，造成公路损坏、未报告的，由交通主管部门处一千元以下的罚款。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第七十九条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违反本法第五十四条规定，在公路用地范围内设置公路标志以外的其他标志的，由交通主管部门责令限期拆除，可以处二万元以下的罚款；逾期不拆除的，由交通主管部门拆除，有关费用由设置者负担。</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第八十条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违反本法第五十五条规定，未经批准在公路上增设平面交叉道口的，由交通主管部门责令恢复原状，处五万元以下的罚款。</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第八十一条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第八十二条 </w:t>
      </w:r>
      <w:r>
        <w:rPr>
          <w:rFonts w:hint="eastAsia" w:ascii="仿宋_GB2312" w:hAnsi="仿宋_GB2312" w:eastAsia="仿宋_GB2312" w:cs="仿宋_GB2312"/>
          <w:i w:val="0"/>
          <w:caps w:val="0"/>
          <w:color w:val="auto"/>
          <w:spacing w:val="0"/>
          <w:kern w:val="0"/>
          <w:sz w:val="32"/>
          <w:szCs w:val="32"/>
          <w:shd w:val="clear" w:fill="FFFFFF"/>
          <w:lang w:val="en-US" w:eastAsia="zh-CN" w:bidi="ar"/>
        </w:rPr>
        <w:t>除本法第七十四条、第七十五条的规定外，本章规定由交通主管部门行使的行政处罚权和行政措施，可以依照本法第八条第四款的规定由公路管理机构行使。</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第八十三条 </w:t>
      </w:r>
      <w:r>
        <w:rPr>
          <w:rFonts w:hint="eastAsia" w:ascii="仿宋_GB2312" w:hAnsi="仿宋_GB2312" w:eastAsia="仿宋_GB2312" w:cs="仿宋_GB2312"/>
          <w:i w:val="0"/>
          <w:caps w:val="0"/>
          <w:color w:val="auto"/>
          <w:spacing w:val="0"/>
          <w:kern w:val="0"/>
          <w:sz w:val="32"/>
          <w:szCs w:val="32"/>
          <w:shd w:val="clear" w:fill="FFFFFF"/>
          <w:lang w:val="en-US" w:eastAsia="zh-CN" w:bidi="ar"/>
        </w:rPr>
        <w:t>阻碍公路建设或者公路抢修，致使公路建设或者抢修不能正常进行，尚未造成严重损失的，依照《中华人民共和国治安管理处罚法》的规定处罚。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损毁公路或者擅自移动公路标志，可能影响交通安全，尚不够刑事处罚的，适用《中华人民共和国道路交通安全法》第九十九条的处罚规定。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拒绝、阻碍公路监督检查人员依法执行职务未使用暴力、威胁方法的，依照《中华人民共和国治安管理处罚法》的规定处罚。</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第八十四条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违反本法有关规定，构成犯罪的，依法追究刑事责任。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第八十五条 </w:t>
      </w:r>
      <w:r>
        <w:rPr>
          <w:rFonts w:hint="eastAsia" w:ascii="仿宋_GB2312" w:hAnsi="仿宋_GB2312" w:eastAsia="仿宋_GB2312" w:cs="仿宋_GB2312"/>
          <w:i w:val="0"/>
          <w:caps w:val="0"/>
          <w:color w:val="auto"/>
          <w:spacing w:val="0"/>
          <w:kern w:val="0"/>
          <w:sz w:val="32"/>
          <w:szCs w:val="32"/>
          <w:shd w:val="clear" w:fill="FFFFFF"/>
          <w:lang w:val="en-US" w:eastAsia="zh-CN" w:bidi="ar"/>
        </w:rPr>
        <w:t>违反本法有关规定，对公路造成损害的，应当依法承担民事责任。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对公路造成较大损害的车辆，必须立即停车，保护现场，报告公路管理机构，接受公路管理机构的调查、处理后方得驶离。</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shd w:val="clear" w:fill="FFFFFF"/>
          <w:lang w:val="en-US" w:eastAsia="zh-CN" w:bidi="ar"/>
        </w:rPr>
        <w:t>第八十六条 </w:t>
      </w:r>
      <w:r>
        <w:rPr>
          <w:rFonts w:hint="eastAsia" w:ascii="仿宋_GB2312" w:hAnsi="仿宋_GB2312" w:eastAsia="仿宋_GB2312" w:cs="仿宋_GB2312"/>
          <w:i w:val="0"/>
          <w:caps w:val="0"/>
          <w:color w:val="auto"/>
          <w:spacing w:val="0"/>
          <w:kern w:val="0"/>
          <w:sz w:val="32"/>
          <w:szCs w:val="32"/>
          <w:shd w:val="clear" w:fill="FFFFFF"/>
          <w:lang w:val="en-US" w:eastAsia="zh-CN" w:bidi="ar"/>
        </w:rPr>
        <w:t>交通主管部门、公路管理机构的工作人员玩忽职守、徇私舞弊、滥用职权，构成犯罪的，依法追究刑事责任；尚不构成犯罪的，依法给予行政处分。</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0"/>
        <w:jc w:val="center"/>
        <w:textAlignment w:val="auto"/>
        <w:rPr>
          <w:rFonts w:hint="eastAsia" w:ascii="黑体" w:hAnsi="黑体" w:eastAsia="黑体" w:cs="黑体"/>
          <w:b w:val="0"/>
          <w:bCs/>
          <w:i w:val="0"/>
          <w:caps w:val="0"/>
          <w:color w:val="auto"/>
          <w:spacing w:val="0"/>
          <w:sz w:val="36"/>
          <w:szCs w:val="36"/>
        </w:rPr>
      </w:pPr>
      <w:r>
        <w:rPr>
          <w:rFonts w:hint="eastAsia" w:ascii="黑体" w:hAnsi="黑体" w:eastAsia="黑体" w:cs="黑体"/>
          <w:b w:val="0"/>
          <w:bCs/>
          <w:i w:val="0"/>
          <w:caps w:val="0"/>
          <w:color w:val="auto"/>
          <w:spacing w:val="0"/>
          <w:kern w:val="0"/>
          <w:sz w:val="36"/>
          <w:szCs w:val="36"/>
          <w:shd w:val="clear" w:fill="FFFFFF"/>
          <w:lang w:val="en-US" w:eastAsia="zh-CN" w:bidi="ar"/>
        </w:rPr>
        <w:t>第九章  附则</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482" w:firstLineChars="200"/>
        <w:jc w:val="left"/>
        <w:textAlignment w:val="auto"/>
        <w:rPr>
          <w:rFonts w:hint="eastAsia" w:ascii="仿宋" w:hAnsi="仿宋" w:eastAsia="仿宋" w:cs="仿宋"/>
          <w:b/>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afterAutospacing="0" w:line="240" w:lineRule="auto"/>
        <w:ind w:left="0" w:firstLine="643" w:firstLineChars="200"/>
        <w:jc w:val="left"/>
        <w:textAlignment w:val="auto"/>
        <w:rPr>
          <w:rFonts w:hint="eastAsia" w:ascii="仿宋_GB2312" w:hAnsi="仿宋_GB2312" w:eastAsia="仿宋_GB2312" w:cs="仿宋_GB2312"/>
          <w:i w:val="0"/>
          <w:caps w:val="0"/>
          <w:color w:val="auto"/>
          <w:spacing w:val="0"/>
          <w:sz w:val="32"/>
          <w:szCs w:val="32"/>
        </w:rPr>
      </w:pPr>
      <w:bookmarkStart w:id="1" w:name="_GoBack"/>
      <w:r>
        <w:rPr>
          <w:rFonts w:hint="eastAsia" w:ascii="仿宋_GB2312" w:hAnsi="仿宋_GB2312" w:eastAsia="仿宋_GB2312" w:cs="仿宋_GB2312"/>
          <w:b/>
          <w:i w:val="0"/>
          <w:caps w:val="0"/>
          <w:color w:val="auto"/>
          <w:spacing w:val="0"/>
          <w:kern w:val="0"/>
          <w:sz w:val="32"/>
          <w:szCs w:val="32"/>
          <w:shd w:val="clear" w:fill="FFFFFF"/>
          <w:lang w:val="en-US" w:eastAsia="zh-CN" w:bidi="ar"/>
        </w:rPr>
        <w:t>第八十七条 </w:t>
      </w:r>
      <w:r>
        <w:rPr>
          <w:rFonts w:hint="eastAsia" w:ascii="仿宋_GB2312" w:hAnsi="仿宋_GB2312" w:eastAsia="仿宋_GB2312" w:cs="仿宋_GB2312"/>
          <w:i w:val="0"/>
          <w:caps w:val="0"/>
          <w:color w:val="auto"/>
          <w:spacing w:val="0"/>
          <w:kern w:val="0"/>
          <w:sz w:val="32"/>
          <w:szCs w:val="32"/>
          <w:shd w:val="clear" w:fill="FFFFFF"/>
          <w:lang w:val="en-US" w:eastAsia="zh-CN" w:bidi="ar"/>
        </w:rPr>
        <w:t>本法自1998年1月1日起施行。</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right="0"/>
        <w:jc w:val="center"/>
        <w:textAlignment w:val="auto"/>
        <w:rPr>
          <w:rFonts w:hint="eastAsia" w:ascii="仿宋_GB2312" w:hAnsi="仿宋_GB2312" w:eastAsia="仿宋_GB2312" w:cs="仿宋_GB2312"/>
          <w:b/>
          <w:bCs/>
          <w:i w:val="0"/>
          <w:caps w:val="0"/>
          <w:color w:val="auto"/>
          <w:spacing w:val="0"/>
          <w:sz w:val="44"/>
          <w:szCs w:val="44"/>
          <w:shd w:val="clear" w:fill="FFFFFF"/>
        </w:rPr>
      </w:pPr>
    </w:p>
    <w:bookmarkEnd w:id="1"/>
    <w:p>
      <w:pPr>
        <w:rPr>
          <w:b w:val="0"/>
          <w:bCs w:val="0"/>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30E75"/>
    <w:rsid w:val="39F42727"/>
    <w:rsid w:val="430433E8"/>
    <w:rsid w:val="6B730E75"/>
    <w:rsid w:val="77096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2021-01-06T05:22:00Z</dcterms:created>
  <dc:creator>洪金侠</dc:creator>
  <cp:lastModifiedBy>洪金侠</cp:lastModifiedBy>
  <dcterms:modified xsi:type="dcterms:W3CDTF">2021-01-20T08:23:42Z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442829605_btnclosed</vt:lpwstr>
  </property>
</Properties>
</file>